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E6FD" w14:textId="79EF01D6" w:rsidR="004B236D" w:rsidRPr="009A56A4" w:rsidRDefault="003C7DB6" w:rsidP="004B236D">
      <w:pPr>
        <w:jc w:val="center"/>
        <w:rPr>
          <w:b/>
          <w:bCs/>
          <w:color w:val="2D40FF"/>
          <w:sz w:val="28"/>
          <w:szCs w:val="28"/>
        </w:rPr>
      </w:pPr>
      <w:r w:rsidRPr="003C7DB6">
        <w:rPr>
          <w:b/>
          <w:bCs/>
          <w:noProof/>
          <w:color w:val="2D40FF"/>
          <w:sz w:val="28"/>
          <w:szCs w:val="28"/>
        </w:rPr>
        <w:drawing>
          <wp:inline distT="0" distB="0" distL="0" distR="0" wp14:anchorId="394E0830" wp14:editId="1C579037">
            <wp:extent cx="695625" cy="605867"/>
            <wp:effectExtent l="0" t="0" r="317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6570" cy="61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2D40FF"/>
          <w:sz w:val="28"/>
          <w:szCs w:val="28"/>
        </w:rPr>
        <w:t xml:space="preserve"> </w:t>
      </w:r>
      <w:r w:rsidR="004B236D" w:rsidRPr="009A56A4">
        <w:rPr>
          <w:b/>
          <w:bCs/>
          <w:color w:val="2D40FF"/>
          <w:sz w:val="28"/>
          <w:szCs w:val="28"/>
        </w:rPr>
        <w:t>C</w:t>
      </w:r>
      <w:r>
        <w:rPr>
          <w:b/>
          <w:bCs/>
          <w:color w:val="2D40FF"/>
          <w:sz w:val="28"/>
          <w:szCs w:val="28"/>
        </w:rPr>
        <w:t>ertificat de c</w:t>
      </w:r>
      <w:r w:rsidR="004B236D" w:rsidRPr="009A56A4">
        <w:rPr>
          <w:b/>
          <w:bCs/>
          <w:color w:val="2D40FF"/>
          <w:sz w:val="28"/>
          <w:szCs w:val="28"/>
        </w:rPr>
        <w:t>ontre-indication à la vaccination contre la Covid 19</w:t>
      </w:r>
    </w:p>
    <w:p w14:paraId="55F4BEEF" w14:textId="77777777" w:rsidR="004B236D" w:rsidRDefault="004B236D">
      <w:pPr>
        <w:rPr>
          <w:b/>
          <w:bCs/>
        </w:rPr>
      </w:pPr>
    </w:p>
    <w:p w14:paraId="2E7FE32A" w14:textId="764C4C88" w:rsidR="009A56A4" w:rsidRPr="009A56A4" w:rsidRDefault="009A56A4" w:rsidP="009A56A4">
      <w:pPr>
        <w:rPr>
          <w:b/>
          <w:bCs/>
        </w:rPr>
      </w:pPr>
      <w:r w:rsidRPr="009A56A4">
        <w:rPr>
          <w:b/>
          <w:bCs/>
        </w:rPr>
        <w:t>Les contre-indications à la vaccination contre le Covid 19 sont précisées dans le cadre d’un décret du 7 août 2021</w:t>
      </w:r>
      <w:r w:rsidR="003C7DB6" w:rsidRPr="003C7DB6">
        <w:rPr>
          <w:b/>
          <w:bCs/>
        </w:rPr>
        <w:t xml:space="preserve"> </w:t>
      </w:r>
      <w:r w:rsidR="003C7DB6">
        <w:rPr>
          <w:b/>
          <w:bCs/>
        </w:rPr>
        <w:t>(A</w:t>
      </w:r>
      <w:r w:rsidR="003C7DB6" w:rsidRPr="003C7DB6">
        <w:rPr>
          <w:b/>
          <w:bCs/>
        </w:rPr>
        <w:t>rticle 2-4</w:t>
      </w:r>
      <w:r w:rsidR="003C7DB6">
        <w:rPr>
          <w:b/>
          <w:bCs/>
        </w:rPr>
        <w:t>)</w:t>
      </w:r>
      <w:r w:rsidRPr="009A56A4">
        <w:rPr>
          <w:b/>
          <w:bCs/>
        </w:rPr>
        <w:t>.</w:t>
      </w:r>
    </w:p>
    <w:p w14:paraId="20C694AE" w14:textId="77777777" w:rsidR="009A56A4" w:rsidRDefault="009A56A4" w:rsidP="009A56A4">
      <w:pPr>
        <w:rPr>
          <w:b/>
          <w:bCs/>
        </w:rPr>
      </w:pPr>
    </w:p>
    <w:p w14:paraId="7CB417CA" w14:textId="310EA0AA" w:rsidR="004B236D" w:rsidRPr="009A56A4" w:rsidRDefault="009A56A4" w:rsidP="009A56A4">
      <w:pPr>
        <w:pStyle w:val="Paragraphedeliste"/>
        <w:numPr>
          <w:ilvl w:val="0"/>
          <w:numId w:val="5"/>
        </w:numPr>
        <w:rPr>
          <w:b/>
          <w:bCs/>
          <w:color w:val="2D40FF"/>
        </w:rPr>
      </w:pPr>
      <w:r w:rsidRPr="009A56A4">
        <w:rPr>
          <w:b/>
          <w:bCs/>
          <w:color w:val="2D40FF"/>
        </w:rPr>
        <w:t>Les cas de contre-indication médicale faisant obstacle à la vaccination contre la Covid 19 mentionné</w:t>
      </w:r>
      <w:r w:rsidR="00041FCF">
        <w:rPr>
          <w:b/>
          <w:bCs/>
          <w:color w:val="2D40FF"/>
        </w:rPr>
        <w:t>s</w:t>
      </w:r>
      <w:r w:rsidRPr="009A56A4">
        <w:rPr>
          <w:b/>
          <w:bCs/>
          <w:color w:val="2D40FF"/>
        </w:rPr>
        <w:t xml:space="preserve"> à l’article 2-4 sont :</w:t>
      </w:r>
    </w:p>
    <w:p w14:paraId="0016ADDA" w14:textId="77777777" w:rsidR="009A56A4" w:rsidRPr="009A56A4" w:rsidRDefault="009A56A4" w:rsidP="009A56A4">
      <w:pPr>
        <w:rPr>
          <w:b/>
          <w:bCs/>
          <w:color w:val="2D40FF"/>
        </w:rPr>
      </w:pPr>
    </w:p>
    <w:p w14:paraId="535B9BFA" w14:textId="63808543" w:rsidR="004B236D" w:rsidRDefault="00B27941" w:rsidP="00B27941">
      <w:pPr>
        <w:pStyle w:val="Paragraphedeliste"/>
        <w:numPr>
          <w:ilvl w:val="0"/>
          <w:numId w:val="1"/>
        </w:numPr>
        <w:rPr>
          <w:b/>
          <w:bCs/>
        </w:rPr>
      </w:pPr>
      <w:r w:rsidRPr="00B27941">
        <w:rPr>
          <w:b/>
          <w:bCs/>
        </w:rPr>
        <w:t>Les contre</w:t>
      </w:r>
      <w:r w:rsidR="009A56A4">
        <w:rPr>
          <w:b/>
          <w:bCs/>
        </w:rPr>
        <w:t>-</w:t>
      </w:r>
      <w:r w:rsidRPr="00B27941">
        <w:rPr>
          <w:b/>
          <w:bCs/>
        </w:rPr>
        <w:t>indications inscrites dans le résumé des caractéristiques du produit</w:t>
      </w:r>
    </w:p>
    <w:p w14:paraId="12F9CF36" w14:textId="5673D6AE" w:rsidR="00B27941" w:rsidRPr="00B27941" w:rsidRDefault="004B236D" w:rsidP="00B27941">
      <w:pPr>
        <w:rPr>
          <w:b/>
          <w:bCs/>
        </w:rPr>
      </w:pPr>
      <w:r>
        <w:rPr>
          <w:b/>
          <w:bCs/>
        </w:rPr>
        <w:t>d</w:t>
      </w:r>
      <w:r w:rsidR="00B27941" w:rsidRPr="004B236D">
        <w:rPr>
          <w:b/>
          <w:bCs/>
        </w:rPr>
        <w:t>es</w:t>
      </w:r>
      <w:r>
        <w:rPr>
          <w:b/>
          <w:bCs/>
        </w:rPr>
        <w:t xml:space="preserve"> </w:t>
      </w:r>
      <w:r w:rsidR="00B27941" w:rsidRPr="00B27941">
        <w:rPr>
          <w:b/>
          <w:bCs/>
        </w:rPr>
        <w:t>différents vaccins :</w:t>
      </w:r>
    </w:p>
    <w:p w14:paraId="4558024D" w14:textId="331B9F02" w:rsidR="00B27941" w:rsidRDefault="00B27941">
      <w:r>
        <w:t>« - Antécédent d’allergie documentée (avis allergologue) à un des composants du vaccin en particulier polyéthylène–glycols et par risque d’allergie croisée aux polysorbates ».</w:t>
      </w:r>
    </w:p>
    <w:p w14:paraId="717447C2" w14:textId="45AFD928" w:rsidR="00B27941" w:rsidRDefault="00B27941">
      <w:r>
        <w:t>« - Réaction anaphylactique au moins de grade 2 (atteinte au moins de deux organes) à une première injection d’un vaccin contre l</w:t>
      </w:r>
      <w:r w:rsidR="003C7DB6">
        <w:t>a</w:t>
      </w:r>
      <w:r>
        <w:t xml:space="preserve"> Covid posée après expertise allergologique » ;</w:t>
      </w:r>
    </w:p>
    <w:p w14:paraId="7605F94A" w14:textId="5950B3E6" w:rsidR="00B27941" w:rsidRDefault="00B27941">
      <w:r>
        <w:t>«</w:t>
      </w:r>
      <w:r w:rsidR="003C7DB6">
        <w:t xml:space="preserve"> </w:t>
      </w:r>
      <w:r>
        <w:t>- Personnes ayant déjà présenté des épisodes de syndrome de fuite capillaire (contre-indication commune au vaccin Vaxzevria et au vaccin Janssen ».</w:t>
      </w:r>
    </w:p>
    <w:p w14:paraId="2CF133B8" w14:textId="6CE505E4" w:rsidR="00B27941" w:rsidRDefault="00B27941" w:rsidP="004B236D">
      <w:pPr>
        <w:pStyle w:val="Paragraphedeliste"/>
        <w:numPr>
          <w:ilvl w:val="0"/>
          <w:numId w:val="1"/>
        </w:numPr>
      </w:pPr>
      <w:r w:rsidRPr="00B27941">
        <w:rPr>
          <w:b/>
          <w:bCs/>
        </w:rPr>
        <w:t>Une recommandation médicale de ne pas initier une vaccination</w:t>
      </w:r>
      <w:r>
        <w:t xml:space="preserve"> (</w:t>
      </w:r>
      <w:r w:rsidR="00AD0939">
        <w:t>1</w:t>
      </w:r>
      <w:r w:rsidR="00AD0939" w:rsidRPr="00AD0939">
        <w:rPr>
          <w:vertAlign w:val="superscript"/>
        </w:rPr>
        <w:t>ère</w:t>
      </w:r>
      <w:r w:rsidR="00AD0939">
        <w:t xml:space="preserve"> </w:t>
      </w:r>
      <w:r>
        <w:t>dose) :</w:t>
      </w:r>
    </w:p>
    <w:p w14:paraId="3B36A44F" w14:textId="432DF8EE" w:rsidR="00B27941" w:rsidRDefault="00B27941">
      <w:r>
        <w:t>«</w:t>
      </w:r>
      <w:r w:rsidR="00775FB4">
        <w:t xml:space="preserve"> </w:t>
      </w:r>
      <w:r>
        <w:t>- Syndrome inflammatoire multi</w:t>
      </w:r>
      <w:r w:rsidR="003C7DB6">
        <w:t>-</w:t>
      </w:r>
      <w:r>
        <w:t>systémique pédiatrique (PIMS) post Covid 19 ».</w:t>
      </w:r>
    </w:p>
    <w:p w14:paraId="0174D54E" w14:textId="77777777" w:rsidR="00B27941" w:rsidRDefault="00B27941" w:rsidP="00B27941">
      <w:pPr>
        <w:pStyle w:val="Paragraphedeliste"/>
        <w:numPr>
          <w:ilvl w:val="0"/>
          <w:numId w:val="1"/>
        </w:numPr>
        <w:rPr>
          <w:b/>
          <w:bCs/>
        </w:rPr>
      </w:pPr>
      <w:r w:rsidRPr="00B27941">
        <w:rPr>
          <w:b/>
          <w:bCs/>
        </w:rPr>
        <w:t>Une recommandation établie après concertation médicale pluridisciplinaire de ne</w:t>
      </w:r>
    </w:p>
    <w:p w14:paraId="56A48D2D" w14:textId="1A6222B7" w:rsidR="004B236D" w:rsidRDefault="004B236D" w:rsidP="00B27941">
      <w:proofErr w:type="gramStart"/>
      <w:r>
        <w:rPr>
          <w:b/>
          <w:bCs/>
        </w:rPr>
        <w:t>p</w:t>
      </w:r>
      <w:r w:rsidRPr="00B27941">
        <w:rPr>
          <w:b/>
          <w:bCs/>
        </w:rPr>
        <w:t>as</w:t>
      </w:r>
      <w:proofErr w:type="gramEnd"/>
      <w:r>
        <w:rPr>
          <w:b/>
          <w:bCs/>
        </w:rPr>
        <w:t xml:space="preserve"> </w:t>
      </w:r>
      <w:r w:rsidRPr="00B27941">
        <w:rPr>
          <w:b/>
          <w:bCs/>
        </w:rPr>
        <w:t xml:space="preserve">effectuer la seconde dose de vaccin </w:t>
      </w:r>
      <w:r w:rsidRPr="004B236D">
        <w:t>suite à la survenue d’un effet indésirable d’intensité sévère ou grave attribué à la première dose de vaccin</w:t>
      </w:r>
      <w:r w:rsidR="00041FCF">
        <w:t xml:space="preserve"> et</w:t>
      </w:r>
      <w:r w:rsidRPr="004B236D">
        <w:t xml:space="preserve"> signal</w:t>
      </w:r>
      <w:r>
        <w:t>é</w:t>
      </w:r>
      <w:r w:rsidRPr="004B236D">
        <w:t xml:space="preserve"> au système de pharmacovigilance</w:t>
      </w:r>
      <w:r w:rsidR="009A56A4">
        <w:t xml:space="preserve">. </w:t>
      </w:r>
      <w:r w:rsidRPr="004B236D">
        <w:t xml:space="preserve">Par exemple la survenue de myocardite, de syndrome de Guillain </w:t>
      </w:r>
      <w:r w:rsidR="009A56A4">
        <w:t>B</w:t>
      </w:r>
      <w:r w:rsidRPr="004B236D">
        <w:t>arré,…)</w:t>
      </w:r>
      <w:r>
        <w:t>.</w:t>
      </w:r>
    </w:p>
    <w:p w14:paraId="633BAAA7" w14:textId="030EC02F" w:rsidR="004B236D" w:rsidRDefault="004B236D" w:rsidP="00B27941"/>
    <w:p w14:paraId="5BC95324" w14:textId="0118294A" w:rsidR="004B236D" w:rsidRPr="009A56A4" w:rsidRDefault="004B236D" w:rsidP="009A56A4">
      <w:pPr>
        <w:pStyle w:val="Paragraphedeliste"/>
        <w:numPr>
          <w:ilvl w:val="0"/>
          <w:numId w:val="5"/>
        </w:numPr>
        <w:rPr>
          <w:b/>
          <w:bCs/>
          <w:color w:val="2D40FF"/>
        </w:rPr>
      </w:pPr>
      <w:r w:rsidRPr="009A56A4">
        <w:rPr>
          <w:b/>
          <w:bCs/>
          <w:color w:val="2D40FF"/>
        </w:rPr>
        <w:t>Les cas de contre-indication médicale temporaire faisant obstacle à la vaccination contre la Covid 19 mentionnés à l’article 2-4 sont :</w:t>
      </w:r>
    </w:p>
    <w:p w14:paraId="16F4ABFE" w14:textId="77777777" w:rsidR="009A56A4" w:rsidRPr="009A56A4" w:rsidRDefault="009A56A4" w:rsidP="00B27941">
      <w:pPr>
        <w:rPr>
          <w:b/>
          <w:bCs/>
          <w:color w:val="2D40FF"/>
        </w:rPr>
      </w:pPr>
    </w:p>
    <w:p w14:paraId="42B85FF5" w14:textId="551889C8" w:rsidR="009A56A4" w:rsidRPr="00AD0939" w:rsidRDefault="004B236D" w:rsidP="00AD0939">
      <w:pPr>
        <w:pStyle w:val="Paragraphedeliste"/>
        <w:numPr>
          <w:ilvl w:val="0"/>
          <w:numId w:val="4"/>
        </w:numPr>
        <w:rPr>
          <w:b/>
          <w:bCs/>
        </w:rPr>
      </w:pPr>
      <w:r w:rsidRPr="009A56A4">
        <w:rPr>
          <w:b/>
          <w:bCs/>
        </w:rPr>
        <w:t>Traitement par anticorps monoclonaux anti SARS-COV-2</w:t>
      </w:r>
    </w:p>
    <w:p w14:paraId="0A8E7B5B" w14:textId="77F261BD" w:rsidR="004B236D" w:rsidRPr="004B236D" w:rsidRDefault="004B236D" w:rsidP="00B27941">
      <w:pPr>
        <w:rPr>
          <w:b/>
          <w:bCs/>
        </w:rPr>
      </w:pPr>
      <w:r>
        <w:t xml:space="preserve">           </w:t>
      </w:r>
      <w:r w:rsidRPr="004B236D">
        <w:rPr>
          <w:b/>
          <w:bCs/>
        </w:rPr>
        <w:t xml:space="preserve">2) </w:t>
      </w:r>
      <w:r w:rsidR="00041FCF">
        <w:rPr>
          <w:b/>
          <w:bCs/>
        </w:rPr>
        <w:t xml:space="preserve">  </w:t>
      </w:r>
      <w:r w:rsidRPr="004B236D">
        <w:rPr>
          <w:b/>
          <w:bCs/>
        </w:rPr>
        <w:t>Myocardites ou péricardites</w:t>
      </w:r>
      <w:r>
        <w:t xml:space="preserve"> connues antérieurement à la vaccination et </w:t>
      </w:r>
      <w:r w:rsidRPr="004B236D">
        <w:rPr>
          <w:b/>
          <w:bCs/>
        </w:rPr>
        <w:t xml:space="preserve">toujours évolutives </w:t>
      </w:r>
      <w:r w:rsidRPr="004B236D">
        <w:t>».</w:t>
      </w:r>
    </w:p>
    <w:p w14:paraId="4391A84B" w14:textId="45F221B5" w:rsidR="003C7DB6" w:rsidRDefault="003C7DB6"/>
    <w:p w14:paraId="34ECAD52" w14:textId="66445C94" w:rsidR="003C7DB6" w:rsidRDefault="003C7DB6" w:rsidP="003C7DB6">
      <w:pPr>
        <w:rPr>
          <w:b/>
          <w:bCs/>
          <w:color w:val="2D40FF"/>
          <w:sz w:val="28"/>
          <w:szCs w:val="28"/>
        </w:rPr>
      </w:pPr>
      <w:r w:rsidRPr="003C7DB6">
        <w:rPr>
          <w:b/>
          <w:bCs/>
          <w:color w:val="2D40FF"/>
          <w:sz w:val="28"/>
          <w:szCs w:val="28"/>
        </w:rPr>
        <w:t>Nous attirons votre attention sur le fait que, comme tout certificat, celui-ci engage votre responsabilité tant sur le plan des conséquences potentielles pour le patient concerné</w:t>
      </w:r>
      <w:r>
        <w:rPr>
          <w:b/>
          <w:bCs/>
          <w:color w:val="2D40FF"/>
          <w:sz w:val="28"/>
          <w:szCs w:val="28"/>
        </w:rPr>
        <w:t xml:space="preserve"> ou ses contacts,</w:t>
      </w:r>
      <w:r w:rsidRPr="003C7DB6">
        <w:rPr>
          <w:b/>
          <w:bCs/>
          <w:color w:val="2D40FF"/>
          <w:sz w:val="28"/>
          <w:szCs w:val="28"/>
        </w:rPr>
        <w:t xml:space="preserve"> que sur celui de notre déontologie médicale ainsi que sur le plan strictement juridique.</w:t>
      </w:r>
    </w:p>
    <w:p w14:paraId="67A0885C" w14:textId="149C0F29" w:rsidR="003C7DB6" w:rsidRDefault="003C7DB6" w:rsidP="003C7DB6">
      <w:pPr>
        <w:rPr>
          <w:b/>
          <w:bCs/>
          <w:color w:val="2D40FF"/>
          <w:sz w:val="28"/>
          <w:szCs w:val="28"/>
        </w:rPr>
      </w:pPr>
    </w:p>
    <w:p w14:paraId="41FE5449" w14:textId="0A2B89CF" w:rsidR="003C7DB6" w:rsidRDefault="003C7DB6" w:rsidP="003C7DB6">
      <w:pPr>
        <w:rPr>
          <w:color w:val="000000" w:themeColor="text1"/>
        </w:rPr>
      </w:pPr>
      <w:r w:rsidRPr="003C7DB6">
        <w:rPr>
          <w:color w:val="000000" w:themeColor="text1"/>
        </w:rPr>
        <w:t xml:space="preserve">Votre Conseil est à votre disposition </w:t>
      </w:r>
      <w:r>
        <w:rPr>
          <w:color w:val="000000" w:themeColor="text1"/>
        </w:rPr>
        <w:t>et vous prie de croire,</w:t>
      </w:r>
      <w:r w:rsidRPr="003C7DB6">
        <w:rPr>
          <w:color w:val="000000" w:themeColor="text1"/>
        </w:rPr>
        <w:t xml:space="preserve"> chères Consœur</w:t>
      </w:r>
      <w:r>
        <w:rPr>
          <w:color w:val="000000" w:themeColor="text1"/>
        </w:rPr>
        <w:t>s</w:t>
      </w:r>
      <w:r w:rsidRPr="003C7DB6">
        <w:rPr>
          <w:color w:val="000000" w:themeColor="text1"/>
        </w:rPr>
        <w:t xml:space="preserve">, chers Confrères, </w:t>
      </w:r>
      <w:r>
        <w:rPr>
          <w:color w:val="000000" w:themeColor="text1"/>
        </w:rPr>
        <w:t xml:space="preserve">à </w:t>
      </w:r>
      <w:r w:rsidRPr="003C7DB6">
        <w:rPr>
          <w:color w:val="000000" w:themeColor="text1"/>
        </w:rPr>
        <w:t>l’expression de nos biens confraternels et dévoués sentiments.</w:t>
      </w:r>
    </w:p>
    <w:p w14:paraId="391F609B" w14:textId="41AA7236" w:rsidR="003C7DB6" w:rsidRDefault="003C7DB6" w:rsidP="003C7DB6">
      <w:pPr>
        <w:rPr>
          <w:color w:val="000000" w:themeColor="text1"/>
        </w:rPr>
      </w:pPr>
    </w:p>
    <w:p w14:paraId="42EC6040" w14:textId="77777777" w:rsidR="00AD0939" w:rsidRDefault="00AD0939" w:rsidP="003C7DB6">
      <w:pPr>
        <w:rPr>
          <w:color w:val="000000" w:themeColor="text1"/>
        </w:rPr>
      </w:pPr>
    </w:p>
    <w:p w14:paraId="540346AE" w14:textId="01A41A28" w:rsidR="00AD0939" w:rsidRDefault="00AD0939" w:rsidP="003C7DB6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</w:t>
      </w:r>
      <w:r w:rsidR="003C7DB6">
        <w:rPr>
          <w:color w:val="000000" w:themeColor="text1"/>
        </w:rPr>
        <w:t xml:space="preserve">Dr Patrick Daimé </w:t>
      </w:r>
    </w:p>
    <w:p w14:paraId="7503FC22" w14:textId="013560E7" w:rsidR="003C7DB6" w:rsidRDefault="00AD0939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</w:t>
      </w:r>
      <w:r w:rsidR="003C7DB6">
        <w:rPr>
          <w:color w:val="000000" w:themeColor="text1"/>
        </w:rPr>
        <w:t>Président CDOM 76</w:t>
      </w:r>
    </w:p>
    <w:p w14:paraId="77D335BD" w14:textId="7C92213B" w:rsidR="00AD0939" w:rsidRDefault="00AD0939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</w:t>
      </w:r>
      <w:hyperlink r:id="rId6" w:history="1">
        <w:r w:rsidR="00187BCB" w:rsidRPr="00B06D87">
          <w:rPr>
            <w:rStyle w:val="Lienhypertexte"/>
          </w:rPr>
          <w:t>seine-maritime@76.medecin.fr</w:t>
        </w:r>
      </w:hyperlink>
    </w:p>
    <w:p w14:paraId="7915EE90" w14:textId="05D285D7" w:rsidR="00187BCB" w:rsidRDefault="00187BCB">
      <w:pPr>
        <w:rPr>
          <w:color w:val="000000" w:themeColor="text1"/>
        </w:rPr>
      </w:pPr>
    </w:p>
    <w:p w14:paraId="78653D2D" w14:textId="1E6F6838" w:rsidR="00187BCB" w:rsidRDefault="00187BCB">
      <w:pPr>
        <w:rPr>
          <w:color w:val="000000" w:themeColor="text1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6DC69252" wp14:editId="52DF4838">
            <wp:extent cx="5756910" cy="32232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3A769" w14:textId="77777777" w:rsidR="00AD0939" w:rsidRPr="00AD0939" w:rsidRDefault="00AD0939">
      <w:pPr>
        <w:rPr>
          <w:color w:val="000000" w:themeColor="text1"/>
        </w:rPr>
      </w:pPr>
    </w:p>
    <w:sectPr w:rsidR="00AD0939" w:rsidRPr="00AD0939" w:rsidSect="002C09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A6C"/>
    <w:multiLevelType w:val="hybridMultilevel"/>
    <w:tmpl w:val="8E1898DC"/>
    <w:lvl w:ilvl="0" w:tplc="CADE46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65DEE"/>
    <w:multiLevelType w:val="hybridMultilevel"/>
    <w:tmpl w:val="9A52A9DC"/>
    <w:lvl w:ilvl="0" w:tplc="0F00CCA2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B7A87"/>
    <w:multiLevelType w:val="hybridMultilevel"/>
    <w:tmpl w:val="6FD83078"/>
    <w:lvl w:ilvl="0" w:tplc="F33A96A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94650C1"/>
    <w:multiLevelType w:val="hybridMultilevel"/>
    <w:tmpl w:val="1AD49D6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CE2943"/>
    <w:multiLevelType w:val="hybridMultilevel"/>
    <w:tmpl w:val="7B444552"/>
    <w:lvl w:ilvl="0" w:tplc="1E72680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41"/>
    <w:rsid w:val="00041FCF"/>
    <w:rsid w:val="00187BCB"/>
    <w:rsid w:val="00226FDF"/>
    <w:rsid w:val="002C09C8"/>
    <w:rsid w:val="003C7DB6"/>
    <w:rsid w:val="004B236D"/>
    <w:rsid w:val="00775FB4"/>
    <w:rsid w:val="008C1703"/>
    <w:rsid w:val="009A56A4"/>
    <w:rsid w:val="00AD0939"/>
    <w:rsid w:val="00B27941"/>
    <w:rsid w:val="00F9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3329"/>
  <w15:chartTrackingRefBased/>
  <w15:docId w15:val="{6E5AC8B0-9AD0-4144-B69E-B9CFB127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79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7B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7b39e52-173a-44eb-8525-eb32279a5007@cn.medeci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ine-maritime@76.medecin.fr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Daimé</dc:creator>
  <cp:keywords/>
  <dc:description/>
  <cp:lastModifiedBy>Sandrine GOUDALLE</cp:lastModifiedBy>
  <cp:revision>2</cp:revision>
  <dcterms:created xsi:type="dcterms:W3CDTF">2021-08-26T13:11:00Z</dcterms:created>
  <dcterms:modified xsi:type="dcterms:W3CDTF">2021-08-26T13:11:00Z</dcterms:modified>
</cp:coreProperties>
</file>